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AEE7D" w14:textId="77777777" w:rsidR="00502706" w:rsidRDefault="00502706" w:rsidP="00502706"/>
    <w:p w14:paraId="7D65C58F" w14:textId="77777777" w:rsidR="00502706" w:rsidRDefault="00502706" w:rsidP="00502706"/>
    <w:p w14:paraId="7B8F1713" w14:textId="77777777" w:rsidR="00502706" w:rsidRDefault="00502706" w:rsidP="00502706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</w:p>
    <w:p w14:paraId="2715D7E9" w14:textId="35D3272C" w:rsidR="00502706" w:rsidRDefault="00502706" w:rsidP="00E2539F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Zien!+ Leerkrachtverkortvragenlijst </w:t>
      </w:r>
      <w:r w:rsidR="00E2539F">
        <w:rPr>
          <w:rFonts w:asciiTheme="minorHAnsi" w:hAnsiTheme="minorHAnsi" w:cstheme="minorHAnsi"/>
          <w:b/>
          <w:bCs/>
          <w:color w:val="003350"/>
          <w:sz w:val="16"/>
          <w:szCs w:val="16"/>
        </w:rPr>
        <w:t>- Bovenbouw</w:t>
      </w:r>
    </w:p>
    <w:p w14:paraId="43A762EA" w14:textId="77777777" w:rsidR="00E2539F" w:rsidRDefault="00E2539F" w:rsidP="00E2539F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078A823A" w14:textId="77777777" w:rsidR="00E2539F" w:rsidRDefault="00E2539F" w:rsidP="00E2539F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GouweAcademie"/>
        <w:tblW w:w="0" w:type="auto"/>
        <w:tblLook w:val="0480" w:firstRow="0" w:lastRow="0" w:firstColumn="1" w:lastColumn="0" w:noHBand="0" w:noVBand="1"/>
      </w:tblPr>
      <w:tblGrid>
        <w:gridCol w:w="2346"/>
        <w:gridCol w:w="1335"/>
      </w:tblGrid>
      <w:tr w:rsidR="00E2539F" w14:paraId="6B1764BD" w14:textId="77777777" w:rsidTr="00D27498">
        <w:trPr>
          <w:trHeight w:val="232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67B2AF07" w14:textId="77777777" w:rsidR="00E2539F" w:rsidRDefault="00E2539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Versie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4CF19614" w14:textId="53CC6A43" w:rsidR="00E2539F" w:rsidRDefault="00750C5F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Juli 2024</w:t>
            </w:r>
          </w:p>
        </w:tc>
      </w:tr>
      <w:tr w:rsidR="00E2539F" w14:paraId="11310C1C" w14:textId="77777777" w:rsidTr="00D27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7B80A0F1" w14:textId="77777777" w:rsidR="00E2539F" w:rsidRDefault="00E2539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Ontwikkelingsleeftijd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10AB282D" w14:textId="77777777" w:rsidR="00E2539F" w:rsidRDefault="00E2539F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10-12 </w:t>
            </w:r>
          </w:p>
        </w:tc>
      </w:tr>
      <w:tr w:rsidR="00E2539F" w14:paraId="60F46632" w14:textId="77777777" w:rsidTr="00D27498"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21AA45C5" w14:textId="77777777" w:rsidR="00E2539F" w:rsidRDefault="00E2539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Leerjaar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1C4367DE" w14:textId="77777777" w:rsidR="00E2539F" w:rsidRDefault="00E2539F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7-8</w:t>
            </w:r>
          </w:p>
        </w:tc>
      </w:tr>
    </w:tbl>
    <w:p w14:paraId="0C08D96B" w14:textId="77777777" w:rsidR="00502706" w:rsidRDefault="00502706" w:rsidP="00502706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54F4F114" w14:textId="77777777" w:rsidR="00475925" w:rsidRDefault="00475925" w:rsidP="00475925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Om de stellingen zo beknopt mogelijk te houden, is er in de Zien!+ vragenlijsten voor gekozen om standaard ‘hij’ te gebruiken wanneer naar de leerling verwezen wordt. In plaats hiervan kan uiteraard het voornaamwoord gelezen worden dat op de leerling van toepassing is.</w:t>
      </w:r>
    </w:p>
    <w:p w14:paraId="4C257B38" w14:textId="77777777" w:rsidR="00475925" w:rsidRDefault="00475925" w:rsidP="00502706">
      <w:pPr>
        <w:rPr>
          <w:rFonts w:asciiTheme="minorHAnsi" w:hAnsiTheme="minorHAnsi" w:cstheme="minorHAnsi"/>
          <w:color w:val="003350"/>
          <w:sz w:val="16"/>
          <w:szCs w:val="16"/>
        </w:rPr>
      </w:pPr>
    </w:p>
    <w:tbl>
      <w:tblPr>
        <w:tblStyle w:val="GouweAcademie"/>
        <w:tblW w:w="5081" w:type="pct"/>
        <w:tblLook w:val="04A0" w:firstRow="1" w:lastRow="0" w:firstColumn="1" w:lastColumn="0" w:noHBand="0" w:noVBand="1"/>
      </w:tblPr>
      <w:tblGrid>
        <w:gridCol w:w="1555"/>
        <w:gridCol w:w="1744"/>
        <w:gridCol w:w="1799"/>
        <w:gridCol w:w="2267"/>
        <w:gridCol w:w="1844"/>
      </w:tblGrid>
      <w:tr w:rsidR="00502706" w:rsidRPr="00A6468B" w14:paraId="79011898" w14:textId="77777777" w:rsidTr="00502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tcW w:w="844" w:type="pct"/>
            <w:vMerge w:val="restart"/>
          </w:tcPr>
          <w:p w14:paraId="1725866C" w14:textId="77777777" w:rsidR="00502706" w:rsidRPr="00502706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sz w:val="16"/>
                <w:szCs w:val="16"/>
              </w:rPr>
            </w:pPr>
            <w:r w:rsidRPr="00502706">
              <w:rPr>
                <w:rFonts w:cstheme="minorHAnsi"/>
                <w:sz w:val="16"/>
                <w:szCs w:val="16"/>
              </w:rPr>
              <w:t xml:space="preserve">Ontwikkelgebied of  </w:t>
            </w:r>
          </w:p>
          <w:p w14:paraId="4A899432" w14:textId="1BAB5696" w:rsidR="00502706" w:rsidRPr="00502706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02706">
              <w:rPr>
                <w:rFonts w:cstheme="minorHAnsi"/>
                <w:sz w:val="16"/>
                <w:szCs w:val="16"/>
              </w:rPr>
              <w:t>-voorwaarde</w:t>
            </w:r>
          </w:p>
        </w:tc>
        <w:tc>
          <w:tcPr>
            <w:tcW w:w="4156" w:type="pct"/>
            <w:gridSpan w:val="4"/>
          </w:tcPr>
          <w:p w14:paraId="1B071018" w14:textId="3794918C" w:rsidR="00502706" w:rsidRPr="00502706" w:rsidRDefault="00475925" w:rsidP="00153B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</w:t>
            </w:r>
            <w:r w:rsidR="00502706" w:rsidRPr="00502706">
              <w:rPr>
                <w:rFonts w:cstheme="minorHAnsi"/>
                <w:sz w:val="16"/>
                <w:szCs w:val="16"/>
              </w:rPr>
              <w:t>Context</w:t>
            </w:r>
          </w:p>
        </w:tc>
      </w:tr>
      <w:tr w:rsidR="00502706" w:rsidRPr="00A6468B" w14:paraId="37BBE43C" w14:textId="77777777" w:rsidTr="00502706">
        <w:trPr>
          <w:trHeight w:val="98"/>
        </w:trPr>
        <w:tc>
          <w:tcPr>
            <w:tcW w:w="844" w:type="pct"/>
            <w:vMerge/>
            <w:shd w:val="clear" w:color="auto" w:fill="D2ECFC"/>
          </w:tcPr>
          <w:p w14:paraId="3A19820B" w14:textId="77777777" w:rsidR="00502706" w:rsidRPr="00502706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  <w:shd w:val="clear" w:color="auto" w:fill="D2ECFC"/>
          </w:tcPr>
          <w:p w14:paraId="7F9EBF87" w14:textId="77777777" w:rsidR="00502706" w:rsidRPr="00502706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977" w:type="pct"/>
            <w:shd w:val="clear" w:color="auto" w:fill="D2ECFC"/>
          </w:tcPr>
          <w:p w14:paraId="08268E97" w14:textId="77777777" w:rsidR="00502706" w:rsidRPr="00502706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Omgaan met activiteiten</w:t>
            </w:r>
          </w:p>
        </w:tc>
        <w:tc>
          <w:tcPr>
            <w:tcW w:w="1231" w:type="pct"/>
            <w:shd w:val="clear" w:color="auto" w:fill="D2ECFC"/>
          </w:tcPr>
          <w:p w14:paraId="4A38E3BD" w14:textId="45EDC10A" w:rsidR="00502706" w:rsidRPr="00502706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01" w:type="pct"/>
            <w:shd w:val="clear" w:color="auto" w:fill="D2ECFC"/>
          </w:tcPr>
          <w:p w14:paraId="03859BEF" w14:textId="77777777" w:rsidR="00502706" w:rsidRPr="00502706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502706" w:rsidRPr="00A6468B" w14:paraId="21E3EE6C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3E2FA56B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Welbevinden</w:t>
            </w:r>
          </w:p>
        </w:tc>
        <w:tc>
          <w:tcPr>
            <w:tcW w:w="947" w:type="pct"/>
            <w:shd w:val="clear" w:color="auto" w:fill="D2ECFC"/>
          </w:tcPr>
          <w:p w14:paraId="44E9C89F" w14:textId="1EC85CAB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color w:val="003350"/>
                <w:sz w:val="16"/>
                <w:szCs w:val="16"/>
              </w:rPr>
              <w:t>De leerling zit lekker in zijn vel en onderhoudt positieve relaties.</w:t>
            </w:r>
          </w:p>
        </w:tc>
        <w:tc>
          <w:tcPr>
            <w:tcW w:w="977" w:type="pct"/>
            <w:shd w:val="clear" w:color="auto" w:fill="D2ECFC"/>
          </w:tcPr>
          <w:p w14:paraId="57C251EE" w14:textId="7379BF44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color w:val="003350"/>
                <w:sz w:val="16"/>
                <w:szCs w:val="16"/>
              </w:rPr>
              <w:t>De leerling oogt relaxed bij de dingen die hij doet.</w:t>
            </w:r>
          </w:p>
        </w:tc>
        <w:tc>
          <w:tcPr>
            <w:tcW w:w="1231" w:type="pct"/>
            <w:shd w:val="clear" w:color="auto" w:fill="D2ECFC"/>
          </w:tcPr>
          <w:p w14:paraId="7B083024" w14:textId="3A31CEEE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wordt gerespecteerd in zijn denken en doen.</w:t>
            </w:r>
          </w:p>
        </w:tc>
        <w:tc>
          <w:tcPr>
            <w:tcW w:w="1001" w:type="pct"/>
            <w:shd w:val="clear" w:color="auto" w:fill="D2ECFC"/>
          </w:tcPr>
          <w:p w14:paraId="042BDDAD" w14:textId="0AFA5F7A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oogt relaxed als hij met media bezig is.</w:t>
            </w:r>
          </w:p>
        </w:tc>
      </w:tr>
      <w:tr w:rsidR="00502706" w:rsidRPr="00A6468B" w14:paraId="364A4BDB" w14:textId="77777777" w:rsidTr="00502706">
        <w:trPr>
          <w:trHeight w:val="98"/>
        </w:trPr>
        <w:tc>
          <w:tcPr>
            <w:tcW w:w="844" w:type="pct"/>
          </w:tcPr>
          <w:p w14:paraId="403E5E08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33AA269C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2197F003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5CDF658D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147B07D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59626D3F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B4CDCFC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Betrokkenheid</w:t>
            </w:r>
          </w:p>
        </w:tc>
        <w:tc>
          <w:tcPr>
            <w:tcW w:w="947" w:type="pct"/>
            <w:shd w:val="clear" w:color="auto" w:fill="D2ECFC"/>
          </w:tcPr>
          <w:p w14:paraId="2EC69F57" w14:textId="20A1CED2" w:rsidR="00502706" w:rsidRPr="00502706" w:rsidRDefault="0062125C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</w:t>
            </w: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besteedt oprechte aandacht aan anderen.</w:t>
            </w:r>
          </w:p>
        </w:tc>
        <w:tc>
          <w:tcPr>
            <w:tcW w:w="977" w:type="pct"/>
            <w:shd w:val="clear" w:color="auto" w:fill="D2ECFC"/>
          </w:tcPr>
          <w:p w14:paraId="4998B491" w14:textId="636717DB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zet zich in voor wat hij doet of leert en is daar tevreden over.</w:t>
            </w:r>
          </w:p>
        </w:tc>
        <w:tc>
          <w:tcPr>
            <w:tcW w:w="1231" w:type="pct"/>
            <w:shd w:val="clear" w:color="auto" w:fill="D2ECFC"/>
          </w:tcPr>
          <w:p w14:paraId="7B30589F" w14:textId="08C4CC0B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is gericht op datgene wat er in de wereld gebeurt.</w:t>
            </w:r>
          </w:p>
          <w:p w14:paraId="02540DF3" w14:textId="5C1A620C" w:rsidR="00502706" w:rsidRPr="00502706" w:rsidRDefault="00502706" w:rsidP="00502706">
            <w:pPr>
              <w:ind w:firstLine="708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6DA7CCA3" w14:textId="484B573A" w:rsidR="00502706" w:rsidRPr="00502706" w:rsidRDefault="00502706" w:rsidP="00502706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gebruikt media </w:t>
            </w:r>
            <w:r w:rsidR="002E5395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bewust en doelgericht. </w:t>
            </w:r>
          </w:p>
        </w:tc>
      </w:tr>
      <w:tr w:rsidR="00502706" w:rsidRPr="00A6468B" w14:paraId="191ECFCA" w14:textId="77777777" w:rsidTr="00502706">
        <w:trPr>
          <w:trHeight w:val="98"/>
        </w:trPr>
        <w:tc>
          <w:tcPr>
            <w:tcW w:w="844" w:type="pct"/>
          </w:tcPr>
          <w:p w14:paraId="3005E72C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6D82624A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3E01B2E2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623867A2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8ECA265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3D83CD7F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4E163CB8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Veiligheidsbeleving</w:t>
            </w:r>
          </w:p>
        </w:tc>
        <w:tc>
          <w:tcPr>
            <w:tcW w:w="947" w:type="pct"/>
            <w:shd w:val="clear" w:color="auto" w:fill="D2ECFC"/>
          </w:tcPr>
          <w:p w14:paraId="46242B7F" w14:textId="2DED5C85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color w:val="003350"/>
                <w:sz w:val="16"/>
                <w:szCs w:val="16"/>
              </w:rPr>
              <w:t>De leerling laat merken dat hij zich veilig voelt bij bekenden.</w:t>
            </w:r>
          </w:p>
        </w:tc>
        <w:tc>
          <w:tcPr>
            <w:tcW w:w="977" w:type="pct"/>
            <w:shd w:val="clear" w:color="auto" w:fill="D2ECFC"/>
          </w:tcPr>
          <w:p w14:paraId="74A57A01" w14:textId="41C9ED2A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cs="Calibri"/>
                <w:color w:val="003350"/>
                <w:sz w:val="16"/>
                <w:szCs w:val="16"/>
              </w:rPr>
              <w:t>De leerling laat merken dat hij zich veilig voelt bij het uitvoeren van zijn activiteiten.</w:t>
            </w:r>
          </w:p>
        </w:tc>
        <w:tc>
          <w:tcPr>
            <w:tcW w:w="1231" w:type="pct"/>
            <w:shd w:val="clear" w:color="auto" w:fill="D2ECFC"/>
          </w:tcPr>
          <w:p w14:paraId="7BDE0775" w14:textId="0FD10F4A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eastAsia="Arial"/>
                <w:color w:val="003350"/>
                <w:sz w:val="16"/>
                <w:szCs w:val="16"/>
              </w:rPr>
              <w:t>De leerling laat merken dat hij zich veilig voelt in de buurt waarin hij zich begeeft.</w:t>
            </w:r>
          </w:p>
          <w:p w14:paraId="0B467486" w14:textId="4082FAD8" w:rsidR="00502706" w:rsidRPr="00502706" w:rsidRDefault="00502706" w:rsidP="00502706">
            <w:pPr>
              <w:jc w:val="center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28F0EB68" w14:textId="14F6F530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color w:val="003350"/>
                <w:sz w:val="16"/>
                <w:szCs w:val="16"/>
              </w:rPr>
              <w:t>De leerling laat merken dat hij zich veilig voelt bij mediagebruik.</w:t>
            </w:r>
          </w:p>
        </w:tc>
      </w:tr>
      <w:tr w:rsidR="00502706" w:rsidRPr="00A6468B" w14:paraId="1BF72375" w14:textId="77777777" w:rsidTr="00502706">
        <w:trPr>
          <w:trHeight w:val="98"/>
        </w:trPr>
        <w:tc>
          <w:tcPr>
            <w:tcW w:w="844" w:type="pct"/>
          </w:tcPr>
          <w:p w14:paraId="046F5D61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3F5DF65B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12C0C9AB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090558FA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D33169C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59707B87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73180F99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Aantasting van de veiligheid</w:t>
            </w:r>
          </w:p>
        </w:tc>
        <w:tc>
          <w:tcPr>
            <w:tcW w:w="947" w:type="pct"/>
            <w:shd w:val="clear" w:color="auto" w:fill="D2ECFC"/>
          </w:tcPr>
          <w:p w14:paraId="7D1B6773" w14:textId="206AAA3E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wordt gepest.</w:t>
            </w:r>
          </w:p>
        </w:tc>
        <w:tc>
          <w:tcPr>
            <w:tcW w:w="977" w:type="pct"/>
            <w:shd w:val="clear" w:color="auto" w:fill="D2ECFC"/>
          </w:tcPr>
          <w:p w14:paraId="1F5CA52F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  <w:shd w:val="clear" w:color="auto" w:fill="D2ECFC"/>
          </w:tcPr>
          <w:p w14:paraId="4039C009" w14:textId="73DE89B5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eastAsia="Arial" w:hAnsiTheme="minorHAnsi" w:cstheme="minorHAnsi"/>
                <w:color w:val="003350"/>
                <w:sz w:val="16"/>
                <w:szCs w:val="16"/>
              </w:rPr>
              <w:t xml:space="preserve">De leerling wordt </w:t>
            </w:r>
            <w:r w:rsidR="001F6DF8">
              <w:rPr>
                <w:rFonts w:asciiTheme="minorHAnsi" w:eastAsia="Arial" w:hAnsiTheme="minorHAnsi" w:cstheme="minorHAnsi"/>
                <w:color w:val="003350"/>
                <w:sz w:val="16"/>
                <w:szCs w:val="16"/>
              </w:rPr>
              <w:t xml:space="preserve">gepest om wie hij is. </w:t>
            </w:r>
          </w:p>
        </w:tc>
        <w:tc>
          <w:tcPr>
            <w:tcW w:w="1001" w:type="pct"/>
            <w:shd w:val="clear" w:color="auto" w:fill="D2ECFC"/>
          </w:tcPr>
          <w:p w14:paraId="0288E972" w14:textId="0AB136F2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wordt online gepest.</w:t>
            </w:r>
          </w:p>
        </w:tc>
      </w:tr>
      <w:tr w:rsidR="00502706" w:rsidRPr="00A6468B" w14:paraId="7C2DE5E7" w14:textId="77777777" w:rsidTr="00502706">
        <w:trPr>
          <w:trHeight w:val="98"/>
        </w:trPr>
        <w:tc>
          <w:tcPr>
            <w:tcW w:w="844" w:type="pct"/>
          </w:tcPr>
          <w:p w14:paraId="4B3FBDF7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676787FE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09D8FE42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649EDB6D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3D54E04E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12610864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07D9B965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Initiatief</w:t>
            </w:r>
          </w:p>
        </w:tc>
        <w:tc>
          <w:tcPr>
            <w:tcW w:w="947" w:type="pct"/>
            <w:shd w:val="clear" w:color="auto" w:fill="D2ECFC"/>
          </w:tcPr>
          <w:p w14:paraId="0521FACC" w14:textId="0B434DB4" w:rsidR="00502706" w:rsidRPr="00502706" w:rsidRDefault="00502706" w:rsidP="00502706">
            <w:pPr>
              <w:rPr>
                <w:rFonts w:cs="Calibr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502706">
              <w:rPr>
                <w:rFonts w:cs="Calibri"/>
                <w:color w:val="003350"/>
                <w:sz w:val="16"/>
                <w:szCs w:val="16"/>
              </w:rPr>
              <w:t xml:space="preserve"> maakt contact met anderen. </w:t>
            </w:r>
          </w:p>
        </w:tc>
        <w:tc>
          <w:tcPr>
            <w:tcW w:w="977" w:type="pct"/>
            <w:shd w:val="clear" w:color="auto" w:fill="D2ECFC"/>
          </w:tcPr>
          <w:p w14:paraId="039F0E4C" w14:textId="2CF3B68B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502706">
              <w:rPr>
                <w:rFonts w:cs="Calibri"/>
                <w:color w:val="003350"/>
                <w:sz w:val="16"/>
                <w:szCs w:val="16"/>
              </w:rPr>
              <w:t xml:space="preserve"> begint aan activiteiten.</w:t>
            </w:r>
          </w:p>
        </w:tc>
        <w:tc>
          <w:tcPr>
            <w:tcW w:w="1231" w:type="pct"/>
            <w:shd w:val="clear" w:color="auto" w:fill="D2ECFC"/>
          </w:tcPr>
          <w:p w14:paraId="07F43734" w14:textId="7DE21140" w:rsidR="00502706" w:rsidRPr="00502706" w:rsidRDefault="00502706" w:rsidP="00502706">
            <w:pPr>
              <w:spacing w:line="240" w:lineRule="auto"/>
              <w:rPr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502706">
              <w:rPr>
                <w:rFonts w:eastAsia="Arial"/>
                <w:color w:val="003350"/>
                <w:sz w:val="16"/>
                <w:szCs w:val="16"/>
              </w:rPr>
              <w:t xml:space="preserve"> maakt contact met mensen van verschillende achtergronden.</w:t>
            </w:r>
          </w:p>
        </w:tc>
        <w:tc>
          <w:tcPr>
            <w:tcW w:w="1001" w:type="pct"/>
            <w:shd w:val="clear" w:color="auto" w:fill="D2ECFC"/>
          </w:tcPr>
          <w:p w14:paraId="3EF68535" w14:textId="66E57195" w:rsidR="00502706" w:rsidRPr="00502706" w:rsidRDefault="00502706" w:rsidP="00502706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</w:t>
            </w:r>
            <w:r w:rsidRPr="00502706">
              <w:rPr>
                <w:color w:val="003350"/>
                <w:sz w:val="16"/>
                <w:szCs w:val="16"/>
              </w:rPr>
              <w:t>start uit zichzelf met het gebruik van media.</w:t>
            </w:r>
          </w:p>
        </w:tc>
      </w:tr>
      <w:tr w:rsidR="00502706" w:rsidRPr="00A6468B" w14:paraId="2448DDF8" w14:textId="77777777" w:rsidTr="00502706">
        <w:trPr>
          <w:trHeight w:val="98"/>
        </w:trPr>
        <w:tc>
          <w:tcPr>
            <w:tcW w:w="844" w:type="pct"/>
          </w:tcPr>
          <w:p w14:paraId="2F8B9868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19628A7A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746722BD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33ACA43F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125DAD5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05E6A7FE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tcW w:w="844" w:type="pct"/>
            <w:shd w:val="clear" w:color="auto" w:fill="D2ECFC"/>
          </w:tcPr>
          <w:p w14:paraId="1A783C9A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Autonomie</w:t>
            </w:r>
          </w:p>
        </w:tc>
        <w:tc>
          <w:tcPr>
            <w:tcW w:w="947" w:type="pct"/>
            <w:shd w:val="clear" w:color="auto" w:fill="D2ECFC"/>
          </w:tcPr>
          <w:p w14:paraId="1A297783" w14:textId="47C2487D" w:rsidR="00502706" w:rsidRPr="00502706" w:rsidRDefault="00502706" w:rsidP="00502706">
            <w:pPr>
              <w:rPr>
                <w:rFonts w:cs="Calibr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heeft een mening en houdt daaraan vast.</w:t>
            </w:r>
          </w:p>
        </w:tc>
        <w:tc>
          <w:tcPr>
            <w:tcW w:w="977" w:type="pct"/>
            <w:shd w:val="clear" w:color="auto" w:fill="D2ECFC"/>
          </w:tcPr>
          <w:p w14:paraId="43DAA648" w14:textId="688F0CB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color w:val="003350"/>
                <w:sz w:val="16"/>
                <w:szCs w:val="16"/>
              </w:rPr>
              <w:t>De leerling geeft aan wat hij fijn vindt om te doen en voert dat uit.</w:t>
            </w:r>
          </w:p>
        </w:tc>
        <w:tc>
          <w:tcPr>
            <w:tcW w:w="1231" w:type="pct"/>
            <w:shd w:val="clear" w:color="auto" w:fill="D2ECFC"/>
          </w:tcPr>
          <w:p w14:paraId="3629F781" w14:textId="581015CE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eastAsia="Arial"/>
                <w:color w:val="003350"/>
                <w:sz w:val="16"/>
                <w:szCs w:val="16"/>
              </w:rPr>
              <w:t>De leerling kan duidelijk maken wat hij ergens van vindt.</w:t>
            </w:r>
          </w:p>
        </w:tc>
        <w:tc>
          <w:tcPr>
            <w:tcW w:w="1001" w:type="pct"/>
            <w:shd w:val="clear" w:color="auto" w:fill="D2ECFC"/>
          </w:tcPr>
          <w:p w14:paraId="0308DBD8" w14:textId="0363BE4D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color w:val="003350"/>
                <w:sz w:val="16"/>
                <w:szCs w:val="16"/>
              </w:rPr>
              <w:t>De leerling maakt bewuste keuzes in zijn mediagebruik.</w:t>
            </w:r>
          </w:p>
        </w:tc>
      </w:tr>
      <w:tr w:rsidR="00502706" w:rsidRPr="00A6468B" w14:paraId="70E01C16" w14:textId="77777777" w:rsidTr="00502706">
        <w:trPr>
          <w:trHeight w:val="98"/>
        </w:trPr>
        <w:tc>
          <w:tcPr>
            <w:tcW w:w="844" w:type="pct"/>
          </w:tcPr>
          <w:p w14:paraId="7CC7696E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09248D9A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5A58FFD2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235B01F1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75664E8B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6D3A1CF9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60A25FEB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Inlevingsvermogen</w:t>
            </w:r>
          </w:p>
        </w:tc>
        <w:tc>
          <w:tcPr>
            <w:tcW w:w="947" w:type="pct"/>
            <w:shd w:val="clear" w:color="auto" w:fill="D2ECFC"/>
          </w:tcPr>
          <w:p w14:paraId="504691D0" w14:textId="7CE650AF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color w:val="003350"/>
                <w:sz w:val="16"/>
                <w:szCs w:val="16"/>
              </w:rPr>
              <w:t>De leerling houdt rekening met wat een ander vindt en voelt.</w:t>
            </w:r>
          </w:p>
        </w:tc>
        <w:tc>
          <w:tcPr>
            <w:tcW w:w="977" w:type="pct"/>
            <w:shd w:val="clear" w:color="auto" w:fill="D2ECFC"/>
          </w:tcPr>
          <w:p w14:paraId="3E54B16E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trike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  <w:shd w:val="clear" w:color="auto" w:fill="D2ECFC"/>
          </w:tcPr>
          <w:p w14:paraId="52278CC5" w14:textId="1D5D6E78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eastAsia="Arial" w:cstheme="minorHAnsi"/>
                <w:color w:val="003350"/>
                <w:sz w:val="16"/>
                <w:szCs w:val="16"/>
              </w:rPr>
              <w:t>De leerling respecteert en verdraagt anderen.</w:t>
            </w:r>
          </w:p>
        </w:tc>
        <w:tc>
          <w:tcPr>
            <w:tcW w:w="1001" w:type="pct"/>
            <w:shd w:val="clear" w:color="auto" w:fill="D2ECFC"/>
          </w:tcPr>
          <w:p w14:paraId="52504A2A" w14:textId="08B861F8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color w:val="003350"/>
                <w:sz w:val="16"/>
                <w:szCs w:val="16"/>
              </w:rPr>
              <w:t>De leerling houdt rekening met een ander tijdens het omgaan met media.</w:t>
            </w:r>
          </w:p>
        </w:tc>
      </w:tr>
      <w:tr w:rsidR="00502706" w:rsidRPr="00A6468B" w14:paraId="0AE521A4" w14:textId="77777777" w:rsidTr="00502706">
        <w:trPr>
          <w:trHeight w:val="98"/>
        </w:trPr>
        <w:tc>
          <w:tcPr>
            <w:tcW w:w="844" w:type="pct"/>
          </w:tcPr>
          <w:p w14:paraId="697675FD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00995CBB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1687220A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5931A4A3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6085DFBC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7A119C21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13484B1A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Flexibiliteit</w:t>
            </w:r>
          </w:p>
        </w:tc>
        <w:tc>
          <w:tcPr>
            <w:tcW w:w="947" w:type="pct"/>
            <w:shd w:val="clear" w:color="auto" w:fill="D2ECFC"/>
          </w:tcPr>
          <w:p w14:paraId="5775D29A" w14:textId="471382A2" w:rsidR="00502706" w:rsidRPr="00502706" w:rsidRDefault="00502706" w:rsidP="00502706">
            <w:pPr>
              <w:rPr>
                <w:rFonts w:cs="Calibr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toont veerkracht als een ander iets anders wil of een eigen idee heeft.</w:t>
            </w:r>
          </w:p>
        </w:tc>
        <w:tc>
          <w:tcPr>
            <w:tcW w:w="977" w:type="pct"/>
            <w:shd w:val="clear" w:color="auto" w:fill="D2ECFC"/>
          </w:tcPr>
          <w:p w14:paraId="5E1D3396" w14:textId="06392C20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color w:val="003350"/>
                <w:sz w:val="16"/>
                <w:szCs w:val="16"/>
              </w:rPr>
              <w:t xml:space="preserve">De leerling toont veerkracht als iets anders gaat </w:t>
            </w:r>
            <w:r w:rsidR="002D6AA8">
              <w:rPr>
                <w:rFonts w:cstheme="minorHAnsi"/>
                <w:color w:val="003350"/>
                <w:sz w:val="16"/>
                <w:szCs w:val="16"/>
              </w:rPr>
              <w:t xml:space="preserve">dan verwacht </w:t>
            </w:r>
            <w:r w:rsidRPr="00502706">
              <w:rPr>
                <w:rFonts w:cstheme="minorHAnsi"/>
                <w:color w:val="003350"/>
                <w:sz w:val="16"/>
                <w:szCs w:val="16"/>
              </w:rPr>
              <w:t>bij de uitvoer van zijn activiteiten.</w:t>
            </w:r>
          </w:p>
        </w:tc>
        <w:tc>
          <w:tcPr>
            <w:tcW w:w="1231" w:type="pct"/>
            <w:shd w:val="clear" w:color="auto" w:fill="D2ECFC"/>
          </w:tcPr>
          <w:p w14:paraId="10BE23A5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color w:val="003350"/>
                <w:sz w:val="16"/>
                <w:szCs w:val="16"/>
              </w:rPr>
              <w:t xml:space="preserve">De leerling kan omgaan met dingen die anders zijn dan hij gewend is. </w:t>
            </w:r>
          </w:p>
          <w:p w14:paraId="12A64BFF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  <w:p w14:paraId="398494D0" w14:textId="5892CBEE" w:rsidR="00502706" w:rsidRPr="00502706" w:rsidRDefault="00502706" w:rsidP="00502706">
            <w:pPr>
              <w:ind w:firstLine="708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2E4DCF2C" w14:textId="79DC4A9B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color w:val="003350"/>
                <w:sz w:val="16"/>
                <w:szCs w:val="16"/>
              </w:rPr>
              <w:t xml:space="preserve">De leerling toont veerkracht als iets anders gaat </w:t>
            </w:r>
            <w:r w:rsidR="002D6AA8">
              <w:rPr>
                <w:rFonts w:cstheme="minorHAnsi"/>
                <w:color w:val="003350"/>
                <w:sz w:val="16"/>
                <w:szCs w:val="16"/>
              </w:rPr>
              <w:t xml:space="preserve">dan verwacht </w:t>
            </w: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terwijl hij met media bezig is</w:t>
            </w:r>
            <w:r w:rsidRPr="00502706">
              <w:rPr>
                <w:rFonts w:cstheme="minorHAnsi"/>
                <w:color w:val="003350"/>
                <w:sz w:val="16"/>
                <w:szCs w:val="16"/>
              </w:rPr>
              <w:t>.</w:t>
            </w:r>
          </w:p>
        </w:tc>
      </w:tr>
      <w:tr w:rsidR="00502706" w:rsidRPr="00A6468B" w14:paraId="7AF12DAB" w14:textId="77777777" w:rsidTr="00502706">
        <w:trPr>
          <w:trHeight w:val="98"/>
        </w:trPr>
        <w:tc>
          <w:tcPr>
            <w:tcW w:w="844" w:type="pct"/>
          </w:tcPr>
          <w:p w14:paraId="109F9354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54E3C260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40A4B3F1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099800F1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768CF9B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0BA2552F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1171FA73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Impulsbeheersing</w:t>
            </w:r>
          </w:p>
        </w:tc>
        <w:tc>
          <w:tcPr>
            <w:tcW w:w="947" w:type="pct"/>
            <w:shd w:val="clear" w:color="auto" w:fill="D2ECFC"/>
          </w:tcPr>
          <w:p w14:paraId="5CA1D508" w14:textId="6C9B26FE" w:rsidR="00502706" w:rsidRPr="00502706" w:rsidRDefault="00502706" w:rsidP="00502706">
            <w:pPr>
              <w:rPr>
                <w:rFonts w:cs="Calibri"/>
                <w:color w:val="003350"/>
                <w:sz w:val="16"/>
                <w:szCs w:val="16"/>
              </w:rPr>
            </w:pPr>
            <w:r w:rsidRPr="00502706">
              <w:rPr>
                <w:color w:val="003350"/>
                <w:sz w:val="16"/>
                <w:szCs w:val="16"/>
              </w:rPr>
              <w:t>De leerling houdt zich in als dat nodig is.</w:t>
            </w:r>
          </w:p>
        </w:tc>
        <w:tc>
          <w:tcPr>
            <w:tcW w:w="977" w:type="pct"/>
            <w:shd w:val="clear" w:color="auto" w:fill="D2ECFC"/>
          </w:tcPr>
          <w:p w14:paraId="47768A25" w14:textId="4BD2B6DF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color w:val="003350"/>
                <w:sz w:val="16"/>
                <w:szCs w:val="16"/>
              </w:rPr>
              <w:t>D</w:t>
            </w:r>
            <w:r w:rsidRPr="00502706">
              <w:rPr>
                <w:color w:val="003350"/>
                <w:sz w:val="16"/>
                <w:szCs w:val="16"/>
              </w:rPr>
              <w:t>e leerling heeft controle over wat hij doet.</w:t>
            </w:r>
          </w:p>
        </w:tc>
        <w:tc>
          <w:tcPr>
            <w:tcW w:w="1231" w:type="pct"/>
            <w:shd w:val="clear" w:color="auto" w:fill="D2ECFC"/>
          </w:tcPr>
          <w:p w14:paraId="56B25632" w14:textId="77777777" w:rsidR="00502706" w:rsidRPr="00502706" w:rsidRDefault="00502706" w:rsidP="00502706">
            <w:pPr>
              <w:spacing w:line="240" w:lineRule="auto"/>
              <w:rPr>
                <w:color w:val="003350"/>
                <w:sz w:val="16"/>
                <w:szCs w:val="16"/>
              </w:rPr>
            </w:pPr>
            <w:r w:rsidRPr="00502706">
              <w:rPr>
                <w:color w:val="003350"/>
                <w:sz w:val="16"/>
                <w:szCs w:val="16"/>
              </w:rPr>
              <w:t>De leerling houdt zich in als dat nodig/beter is.</w:t>
            </w:r>
          </w:p>
          <w:p w14:paraId="299E790C" w14:textId="76ACAD11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3F967F66" w14:textId="191B658F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color w:val="003350"/>
                <w:sz w:val="16"/>
                <w:szCs w:val="16"/>
              </w:rPr>
              <w:t>De leerling heeft controle over wat hij doe als hij met media bezig is.</w:t>
            </w:r>
          </w:p>
        </w:tc>
      </w:tr>
      <w:tr w:rsidR="00502706" w:rsidRPr="00A6468B" w14:paraId="0B445B53" w14:textId="77777777" w:rsidTr="00502706">
        <w:trPr>
          <w:trHeight w:val="98"/>
        </w:trPr>
        <w:tc>
          <w:tcPr>
            <w:tcW w:w="844" w:type="pct"/>
          </w:tcPr>
          <w:p w14:paraId="6DAA997A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44CEE05F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4F826A83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593D00CD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145490D1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38CD5B82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87037DF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Plannen en organiseren</w:t>
            </w:r>
          </w:p>
        </w:tc>
        <w:tc>
          <w:tcPr>
            <w:tcW w:w="947" w:type="pct"/>
            <w:shd w:val="clear" w:color="auto" w:fill="D2ECFC"/>
          </w:tcPr>
          <w:p w14:paraId="641C531B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  <w:shd w:val="clear" w:color="auto" w:fill="D2ECFC"/>
          </w:tcPr>
          <w:p w14:paraId="2DAD1EA2" w14:textId="55734F20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organiseert zijn activiteiten om een doel te bereiken.</w:t>
            </w:r>
          </w:p>
        </w:tc>
        <w:tc>
          <w:tcPr>
            <w:tcW w:w="1231" w:type="pct"/>
            <w:shd w:val="clear" w:color="auto" w:fill="D2ECFC"/>
          </w:tcPr>
          <w:p w14:paraId="657CEEF0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04E74EF9" w14:textId="769FE85F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gebruikt digitale middelen om zijn activiteiten te organiseren.</w:t>
            </w:r>
          </w:p>
        </w:tc>
      </w:tr>
      <w:tr w:rsidR="00502706" w:rsidRPr="00A6468B" w14:paraId="56D1C3D4" w14:textId="77777777" w:rsidTr="00502706">
        <w:trPr>
          <w:trHeight w:val="98"/>
        </w:trPr>
        <w:tc>
          <w:tcPr>
            <w:tcW w:w="844" w:type="pct"/>
          </w:tcPr>
          <w:p w14:paraId="393C54C8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5A8D4C3B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79B24986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47BB8E91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159384E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49C467B1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48527E66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Zelfinzicht</w:t>
            </w:r>
          </w:p>
        </w:tc>
        <w:tc>
          <w:tcPr>
            <w:tcW w:w="947" w:type="pct"/>
            <w:shd w:val="clear" w:color="auto" w:fill="D2ECFC"/>
          </w:tcPr>
          <w:p w14:paraId="1FC7E0F4" w14:textId="2F8D1853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van zichzelf hoe hij is in de omgang met anderen.</w:t>
            </w:r>
          </w:p>
        </w:tc>
        <w:tc>
          <w:tcPr>
            <w:tcW w:w="977" w:type="pct"/>
            <w:shd w:val="clear" w:color="auto" w:fill="D2ECFC"/>
          </w:tcPr>
          <w:p w14:paraId="520DB892" w14:textId="6BA5FD6D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kent zijn mogelijkheden en weet wat hij wil bereiken.</w:t>
            </w:r>
          </w:p>
        </w:tc>
        <w:tc>
          <w:tcPr>
            <w:tcW w:w="1231" w:type="pct"/>
            <w:shd w:val="clear" w:color="auto" w:fill="D2ECFC"/>
          </w:tcPr>
          <w:p w14:paraId="736EA143" w14:textId="12385E6D" w:rsidR="00502706" w:rsidRPr="00502706" w:rsidRDefault="00502706" w:rsidP="00475925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van zichzelf hoe hij is in een onbekende omgeving.</w:t>
            </w:r>
          </w:p>
        </w:tc>
        <w:tc>
          <w:tcPr>
            <w:tcW w:w="1001" w:type="pct"/>
            <w:shd w:val="clear" w:color="auto" w:fill="D2ECFC"/>
          </w:tcPr>
          <w:p w14:paraId="762D7A94" w14:textId="3EDC4E7D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van zichzelf hoe hij met media omgaat.</w:t>
            </w:r>
          </w:p>
        </w:tc>
      </w:tr>
      <w:tr w:rsidR="00502706" w:rsidRPr="00A6468B" w14:paraId="25F81854" w14:textId="77777777" w:rsidTr="00502706">
        <w:trPr>
          <w:trHeight w:val="98"/>
        </w:trPr>
        <w:tc>
          <w:tcPr>
            <w:tcW w:w="844" w:type="pct"/>
          </w:tcPr>
          <w:p w14:paraId="0ECAC8BF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1483F9E4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261663A4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43F94CD1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4E04B748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7E817179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39CA19D2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lastRenderedPageBreak/>
              <w:t>Creatief denken</w:t>
            </w:r>
          </w:p>
        </w:tc>
        <w:tc>
          <w:tcPr>
            <w:tcW w:w="947" w:type="pct"/>
            <w:shd w:val="clear" w:color="auto" w:fill="D2ECFC"/>
          </w:tcPr>
          <w:p w14:paraId="194D55D3" w14:textId="4A9B2B1D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</w:t>
            </w:r>
            <w:r w:rsidR="00EA2BA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r</w:t>
            </w: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rassende ideeën en oplossingen met anderen.</w:t>
            </w:r>
          </w:p>
        </w:tc>
        <w:tc>
          <w:tcPr>
            <w:tcW w:w="977" w:type="pct"/>
            <w:shd w:val="clear" w:color="auto" w:fill="D2ECFC"/>
          </w:tcPr>
          <w:p w14:paraId="46E22C89" w14:textId="73D2F398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en oplossingen bij de activiteiten die hij doet.</w:t>
            </w:r>
          </w:p>
        </w:tc>
        <w:tc>
          <w:tcPr>
            <w:tcW w:w="1231" w:type="pct"/>
            <w:shd w:val="clear" w:color="auto" w:fill="D2ECFC"/>
          </w:tcPr>
          <w:p w14:paraId="6DD3560A" w14:textId="0145D5F6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en oplossingen voor de buurt, de stad, het land of de wereld.</w:t>
            </w:r>
          </w:p>
        </w:tc>
        <w:tc>
          <w:tcPr>
            <w:tcW w:w="1001" w:type="pct"/>
            <w:shd w:val="clear" w:color="auto" w:fill="D2ECFC"/>
          </w:tcPr>
          <w:p w14:paraId="5F98A867" w14:textId="708D988F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gebruikt media op een originele manier.</w:t>
            </w:r>
          </w:p>
        </w:tc>
      </w:tr>
      <w:tr w:rsidR="00502706" w:rsidRPr="00A6468B" w14:paraId="24A139FB" w14:textId="77777777" w:rsidTr="00502706">
        <w:trPr>
          <w:trHeight w:val="98"/>
        </w:trPr>
        <w:tc>
          <w:tcPr>
            <w:tcW w:w="844" w:type="pct"/>
          </w:tcPr>
          <w:p w14:paraId="46EB2B0A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46DEF0AE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71C41913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0B02F441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B6108F4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78FD93BF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83A14A5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Kritisch denken</w:t>
            </w:r>
          </w:p>
        </w:tc>
        <w:tc>
          <w:tcPr>
            <w:tcW w:w="947" w:type="pct"/>
            <w:shd w:val="clear" w:color="auto" w:fill="D2ECFC"/>
          </w:tcPr>
          <w:p w14:paraId="4736DC33" w14:textId="290C65FD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over wat hij vindt door naar de argumenten van anderen te luisteren.</w:t>
            </w:r>
          </w:p>
        </w:tc>
        <w:tc>
          <w:tcPr>
            <w:tcW w:w="977" w:type="pct"/>
            <w:shd w:val="clear" w:color="auto" w:fill="D2ECFC"/>
          </w:tcPr>
          <w:p w14:paraId="1EAA7DB3" w14:textId="72B4355A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over onderwerpen of vragen voor hij zijn mening vormt.</w:t>
            </w:r>
          </w:p>
        </w:tc>
        <w:tc>
          <w:tcPr>
            <w:tcW w:w="1231" w:type="pct"/>
            <w:shd w:val="clear" w:color="auto" w:fill="D2ECFC"/>
          </w:tcPr>
          <w:p w14:paraId="0DA50875" w14:textId="2BF6C59A" w:rsidR="00502706" w:rsidRPr="00502706" w:rsidRDefault="00502706" w:rsidP="00502706">
            <w:pPr>
              <w:rPr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over onderwerpen of vragen door naar de argumenten van anderen te luisteren.</w:t>
            </w:r>
          </w:p>
        </w:tc>
        <w:tc>
          <w:tcPr>
            <w:tcW w:w="1001" w:type="pct"/>
            <w:shd w:val="clear" w:color="auto" w:fill="D2ECFC"/>
          </w:tcPr>
          <w:p w14:paraId="0F422E79" w14:textId="480DF23F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gebruikt informatie vanuit media om </w:t>
            </w:r>
            <w:r w:rsidR="00351D84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zijn mening te vormen. </w:t>
            </w:r>
          </w:p>
        </w:tc>
      </w:tr>
      <w:tr w:rsidR="00502706" w:rsidRPr="00A6468B" w14:paraId="472AFE99" w14:textId="77777777" w:rsidTr="00502706">
        <w:trPr>
          <w:trHeight w:val="96"/>
        </w:trPr>
        <w:tc>
          <w:tcPr>
            <w:tcW w:w="844" w:type="pct"/>
          </w:tcPr>
          <w:p w14:paraId="331A04A4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0830E3F8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56A65325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45D0992B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6E90E195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706865D6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7761BF5" w14:textId="77777777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502706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Analytisch denken</w:t>
            </w:r>
          </w:p>
        </w:tc>
        <w:tc>
          <w:tcPr>
            <w:tcW w:w="947" w:type="pct"/>
            <w:shd w:val="clear" w:color="auto" w:fill="D2ECFC"/>
          </w:tcPr>
          <w:p w14:paraId="691B60D1" w14:textId="69E89821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informatie begrijpen en verwerken door anderen te bevragen.</w:t>
            </w:r>
          </w:p>
        </w:tc>
        <w:tc>
          <w:tcPr>
            <w:tcW w:w="977" w:type="pct"/>
            <w:shd w:val="clear" w:color="auto" w:fill="D2ECFC"/>
          </w:tcPr>
          <w:p w14:paraId="5A5E1175" w14:textId="62598B9A" w:rsidR="00502706" w:rsidRPr="00502706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informatie begrijpen en verwerken.</w:t>
            </w:r>
          </w:p>
        </w:tc>
        <w:tc>
          <w:tcPr>
            <w:tcW w:w="1231" w:type="pct"/>
            <w:shd w:val="clear" w:color="auto" w:fill="D2ECFC"/>
          </w:tcPr>
          <w:p w14:paraId="65D0A60B" w14:textId="1CE66A23" w:rsidR="00502706" w:rsidRPr="00502706" w:rsidRDefault="00502706" w:rsidP="00502706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begrijpen wat er in de wereld en om hem heen gebeurt.</w:t>
            </w:r>
          </w:p>
        </w:tc>
        <w:tc>
          <w:tcPr>
            <w:tcW w:w="1001" w:type="pct"/>
            <w:shd w:val="clear" w:color="auto" w:fill="D2ECFC"/>
          </w:tcPr>
          <w:p w14:paraId="107EED75" w14:textId="19B23715" w:rsidR="00502706" w:rsidRPr="00502706" w:rsidRDefault="00502706" w:rsidP="00502706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502706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begrijpt en verwerkt wat hij in de media hoort of leest.</w:t>
            </w:r>
          </w:p>
        </w:tc>
      </w:tr>
      <w:tr w:rsidR="00502706" w:rsidRPr="00A6468B" w14:paraId="4CA04F15" w14:textId="77777777" w:rsidTr="00502706">
        <w:trPr>
          <w:trHeight w:val="98"/>
        </w:trPr>
        <w:tc>
          <w:tcPr>
            <w:tcW w:w="844" w:type="pct"/>
          </w:tcPr>
          <w:p w14:paraId="7017B5C1" w14:textId="77777777" w:rsidR="00502706" w:rsidRPr="00A6468B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47" w:type="pct"/>
          </w:tcPr>
          <w:p w14:paraId="58A4A66C" w14:textId="77777777" w:rsidR="00502706" w:rsidRPr="00A6468B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7" w:type="pct"/>
          </w:tcPr>
          <w:p w14:paraId="3F915A12" w14:textId="77777777" w:rsidR="00502706" w:rsidRPr="00A6468B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1" w:type="pct"/>
          </w:tcPr>
          <w:p w14:paraId="46394067" w14:textId="77777777" w:rsidR="00502706" w:rsidRPr="00A6468B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1" w:type="pct"/>
          </w:tcPr>
          <w:p w14:paraId="1D687D6C" w14:textId="77777777" w:rsidR="00502706" w:rsidRPr="00A6468B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3D06B0F8" w14:textId="77777777" w:rsidR="00502706" w:rsidRPr="00A6468B" w:rsidRDefault="00502706" w:rsidP="00502706">
      <w:pPr>
        <w:rPr>
          <w:rFonts w:asciiTheme="minorHAnsi" w:hAnsiTheme="minorHAnsi" w:cstheme="minorHAnsi"/>
          <w:sz w:val="16"/>
          <w:szCs w:val="16"/>
        </w:rPr>
      </w:pPr>
    </w:p>
    <w:p w14:paraId="6FE30FA7" w14:textId="77777777" w:rsidR="00F15659" w:rsidRDefault="00F15659" w:rsidP="00AD6A94"/>
    <w:p w14:paraId="74DC6569" w14:textId="77777777" w:rsidR="00AD6A94" w:rsidRDefault="00AD6A94" w:rsidP="00AD6A94"/>
    <w:p w14:paraId="462B7524" w14:textId="77777777" w:rsidR="00AD6A94" w:rsidRDefault="00AD6A94" w:rsidP="00AD6A94"/>
    <w:p w14:paraId="5FF1009C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BB152F0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1CC79B1B" w14:textId="77777777" w:rsidR="0038220C" w:rsidRDefault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0960D16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EB67D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89CCF" w14:textId="77777777" w:rsidR="007D30A0" w:rsidRDefault="007D30A0" w:rsidP="004B0919">
      <w:r>
        <w:separator/>
      </w:r>
    </w:p>
  </w:endnote>
  <w:endnote w:type="continuationSeparator" w:id="0">
    <w:p w14:paraId="4D27212C" w14:textId="77777777" w:rsidR="007D30A0" w:rsidRDefault="007D30A0" w:rsidP="004B0919">
      <w:r>
        <w:continuationSeparator/>
      </w:r>
    </w:p>
  </w:endnote>
  <w:endnote w:type="continuationNotice" w:id="1">
    <w:p w14:paraId="6C826A84" w14:textId="77777777" w:rsidR="007D30A0" w:rsidRDefault="007D3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7F8A20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20E2F89F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E3A1E" w14:textId="52C50358" w:rsidR="004B0919" w:rsidRPr="003B052A" w:rsidRDefault="003B052A" w:rsidP="003B052A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50F19EE1" wp14:editId="24D89FD4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294444901" name="Afbeelding 1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>Gouwe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A7687" w14:textId="77777777" w:rsidR="007D30A0" w:rsidRDefault="007D30A0" w:rsidP="004B0919">
      <w:r>
        <w:separator/>
      </w:r>
    </w:p>
  </w:footnote>
  <w:footnote w:type="continuationSeparator" w:id="0">
    <w:p w14:paraId="0D76C441" w14:textId="77777777" w:rsidR="007D30A0" w:rsidRDefault="007D30A0" w:rsidP="004B0919">
      <w:r>
        <w:continuationSeparator/>
      </w:r>
    </w:p>
  </w:footnote>
  <w:footnote w:type="continuationNotice" w:id="1">
    <w:p w14:paraId="42282997" w14:textId="77777777" w:rsidR="007D30A0" w:rsidRDefault="007D30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DBE6B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D820E1" wp14:editId="6F72268F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4B1F0B67" w14:textId="77777777" w:rsidR="002277ED" w:rsidRDefault="002277ED" w:rsidP="004B0919">
    <w:pPr>
      <w:pStyle w:val="Koptekst"/>
      <w:rPr>
        <w:noProof/>
      </w:rPr>
    </w:pPr>
  </w:p>
  <w:p w14:paraId="01054411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3C74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93E3F74" wp14:editId="3414F03A">
          <wp:simplePos x="0" y="0"/>
          <wp:positionH relativeFrom="column">
            <wp:posOffset>871855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5.8pt;height:53.2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942364">
    <w:abstractNumId w:val="4"/>
  </w:num>
  <w:num w:numId="2" w16cid:durableId="872883018">
    <w:abstractNumId w:val="1"/>
  </w:num>
  <w:num w:numId="3" w16cid:durableId="1863975900">
    <w:abstractNumId w:val="2"/>
  </w:num>
  <w:num w:numId="4" w16cid:durableId="1091705454">
    <w:abstractNumId w:val="0"/>
  </w:num>
  <w:num w:numId="5" w16cid:durableId="984313073">
    <w:abstractNumId w:val="5"/>
  </w:num>
  <w:num w:numId="6" w16cid:durableId="1807433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06"/>
    <w:rsid w:val="00011E71"/>
    <w:rsid w:val="0003628A"/>
    <w:rsid w:val="00051F69"/>
    <w:rsid w:val="00052825"/>
    <w:rsid w:val="00057B80"/>
    <w:rsid w:val="00061AE4"/>
    <w:rsid w:val="0008545D"/>
    <w:rsid w:val="000A071E"/>
    <w:rsid w:val="000A3002"/>
    <w:rsid w:val="000D246A"/>
    <w:rsid w:val="000D6D81"/>
    <w:rsid w:val="000D7D60"/>
    <w:rsid w:val="001111FB"/>
    <w:rsid w:val="00131C70"/>
    <w:rsid w:val="001550CF"/>
    <w:rsid w:val="0018093C"/>
    <w:rsid w:val="00190837"/>
    <w:rsid w:val="00191B84"/>
    <w:rsid w:val="001A668A"/>
    <w:rsid w:val="001A7D6E"/>
    <w:rsid w:val="001B2EA5"/>
    <w:rsid w:val="001F2D3D"/>
    <w:rsid w:val="001F2DEB"/>
    <w:rsid w:val="001F6DF8"/>
    <w:rsid w:val="0021084F"/>
    <w:rsid w:val="002277ED"/>
    <w:rsid w:val="00227D95"/>
    <w:rsid w:val="002303AF"/>
    <w:rsid w:val="00236EA5"/>
    <w:rsid w:val="002401AF"/>
    <w:rsid w:val="00253936"/>
    <w:rsid w:val="002832C2"/>
    <w:rsid w:val="002C5990"/>
    <w:rsid w:val="002D6AA8"/>
    <w:rsid w:val="002D7DE4"/>
    <w:rsid w:val="002E5395"/>
    <w:rsid w:val="003372D4"/>
    <w:rsid w:val="00351D84"/>
    <w:rsid w:val="003631EE"/>
    <w:rsid w:val="0037112A"/>
    <w:rsid w:val="00371580"/>
    <w:rsid w:val="0038220C"/>
    <w:rsid w:val="003839E4"/>
    <w:rsid w:val="00384564"/>
    <w:rsid w:val="003B052A"/>
    <w:rsid w:val="003B3ABB"/>
    <w:rsid w:val="003C69DA"/>
    <w:rsid w:val="003F6EAF"/>
    <w:rsid w:val="00422AAC"/>
    <w:rsid w:val="004240F5"/>
    <w:rsid w:val="00424C1B"/>
    <w:rsid w:val="00475925"/>
    <w:rsid w:val="00481502"/>
    <w:rsid w:val="004844E3"/>
    <w:rsid w:val="004B0919"/>
    <w:rsid w:val="004B5E33"/>
    <w:rsid w:val="004C37C4"/>
    <w:rsid w:val="004C5E60"/>
    <w:rsid w:val="004E0DA1"/>
    <w:rsid w:val="00502706"/>
    <w:rsid w:val="005067D0"/>
    <w:rsid w:val="00524EBA"/>
    <w:rsid w:val="005319B5"/>
    <w:rsid w:val="00547CC2"/>
    <w:rsid w:val="005725A1"/>
    <w:rsid w:val="00574B3D"/>
    <w:rsid w:val="005A6D0C"/>
    <w:rsid w:val="005C4610"/>
    <w:rsid w:val="005E7CF2"/>
    <w:rsid w:val="005F4545"/>
    <w:rsid w:val="0060777B"/>
    <w:rsid w:val="00614307"/>
    <w:rsid w:val="0062125C"/>
    <w:rsid w:val="00621832"/>
    <w:rsid w:val="00651B8B"/>
    <w:rsid w:val="00653FC2"/>
    <w:rsid w:val="00697423"/>
    <w:rsid w:val="006E652F"/>
    <w:rsid w:val="006F7D18"/>
    <w:rsid w:val="00717E5F"/>
    <w:rsid w:val="00724839"/>
    <w:rsid w:val="007371B0"/>
    <w:rsid w:val="00750C5F"/>
    <w:rsid w:val="00762E28"/>
    <w:rsid w:val="007644CF"/>
    <w:rsid w:val="007D1EDE"/>
    <w:rsid w:val="007D30A0"/>
    <w:rsid w:val="007F0428"/>
    <w:rsid w:val="007F2757"/>
    <w:rsid w:val="00803086"/>
    <w:rsid w:val="00817BE5"/>
    <w:rsid w:val="00846B1A"/>
    <w:rsid w:val="00860929"/>
    <w:rsid w:val="00865E9A"/>
    <w:rsid w:val="00881F13"/>
    <w:rsid w:val="00890C1F"/>
    <w:rsid w:val="008D5D1D"/>
    <w:rsid w:val="008F1A4A"/>
    <w:rsid w:val="00903117"/>
    <w:rsid w:val="00911738"/>
    <w:rsid w:val="00920B86"/>
    <w:rsid w:val="00922535"/>
    <w:rsid w:val="00923D20"/>
    <w:rsid w:val="00923E16"/>
    <w:rsid w:val="009372C3"/>
    <w:rsid w:val="009442C7"/>
    <w:rsid w:val="009623E9"/>
    <w:rsid w:val="009675E5"/>
    <w:rsid w:val="00993B59"/>
    <w:rsid w:val="009B1737"/>
    <w:rsid w:val="009C194D"/>
    <w:rsid w:val="00A03150"/>
    <w:rsid w:val="00A53074"/>
    <w:rsid w:val="00A556C1"/>
    <w:rsid w:val="00A83C8B"/>
    <w:rsid w:val="00AA5445"/>
    <w:rsid w:val="00AB1FD9"/>
    <w:rsid w:val="00AC3399"/>
    <w:rsid w:val="00AD6A94"/>
    <w:rsid w:val="00AF26C4"/>
    <w:rsid w:val="00B06C6E"/>
    <w:rsid w:val="00B215A0"/>
    <w:rsid w:val="00B3713B"/>
    <w:rsid w:val="00B73CA7"/>
    <w:rsid w:val="00B95447"/>
    <w:rsid w:val="00BB358B"/>
    <w:rsid w:val="00BF2B24"/>
    <w:rsid w:val="00C15F4B"/>
    <w:rsid w:val="00C26B42"/>
    <w:rsid w:val="00C814D7"/>
    <w:rsid w:val="00C833DC"/>
    <w:rsid w:val="00C85638"/>
    <w:rsid w:val="00CB0046"/>
    <w:rsid w:val="00CC01BB"/>
    <w:rsid w:val="00CC209E"/>
    <w:rsid w:val="00CD0596"/>
    <w:rsid w:val="00CD4A2E"/>
    <w:rsid w:val="00CE4759"/>
    <w:rsid w:val="00CF3D67"/>
    <w:rsid w:val="00D27498"/>
    <w:rsid w:val="00D32586"/>
    <w:rsid w:val="00D35892"/>
    <w:rsid w:val="00D63556"/>
    <w:rsid w:val="00D7387D"/>
    <w:rsid w:val="00D913DA"/>
    <w:rsid w:val="00DC3875"/>
    <w:rsid w:val="00DC3C1A"/>
    <w:rsid w:val="00DD79BD"/>
    <w:rsid w:val="00E1759A"/>
    <w:rsid w:val="00E2539F"/>
    <w:rsid w:val="00E428DF"/>
    <w:rsid w:val="00E43592"/>
    <w:rsid w:val="00E46A57"/>
    <w:rsid w:val="00E47DFA"/>
    <w:rsid w:val="00E54F0E"/>
    <w:rsid w:val="00E677D9"/>
    <w:rsid w:val="00E850FF"/>
    <w:rsid w:val="00EA2BAA"/>
    <w:rsid w:val="00EA6AA6"/>
    <w:rsid w:val="00EB4177"/>
    <w:rsid w:val="00EB67D3"/>
    <w:rsid w:val="00EB7F50"/>
    <w:rsid w:val="00EC62D8"/>
    <w:rsid w:val="00ED19C1"/>
    <w:rsid w:val="00F15659"/>
    <w:rsid w:val="00F36C84"/>
    <w:rsid w:val="00F40907"/>
    <w:rsid w:val="00F436FA"/>
    <w:rsid w:val="00F533EE"/>
    <w:rsid w:val="00F74F95"/>
    <w:rsid w:val="00F86F0A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2"/>
    </o:shapelayout>
  </w:shapeDefaults>
  <w:decimalSymbol w:val=","/>
  <w:listSeparator w:val=";"/>
  <w14:docId w14:val="61DCA05C"/>
  <w15:chartTrackingRefBased/>
  <w15:docId w15:val="{2EB35624-6E09-4D45-B3C4-02854934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4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rh\Driestar%20educatief\Communication%20sit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A4B39-4AE0-4144-B8A5-494F6BDDC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AAD7D-87DC-4070-B48F-F3887E255B65}">
  <ds:schemaRefs>
    <ds:schemaRef ds:uri="fd0a3419-be1d-4d1e-8006-2f5539af1094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bfc32e6-7ca2-4600-92ce-6b812f35215a"/>
    <ds:schemaRef ds:uri="http://schemas.microsoft.com/office/2006/metadata/properties"/>
    <ds:schemaRef ds:uri="http://www.w3.org/XML/1998/namespace"/>
    <ds:schemaRef ds:uri="60894600-8476-4fd7-b2c5-ff917fc705dd"/>
    <ds:schemaRef ds:uri="fbe72611-bf81-487e-b0f6-1ac12b8ec030"/>
  </ds:schemaRefs>
</ds:datastoreItem>
</file>

<file path=customXml/itemProps3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1</TotalTime>
  <Pages>2</Pages>
  <Words>659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Haverhals, Antoinette | Gouwe Academie</dc:creator>
  <cp:keywords/>
  <dc:description/>
  <cp:lastModifiedBy>Jansen-Tigchelaar, Doreanne | Gouwe Academie</cp:lastModifiedBy>
  <cp:revision>26</cp:revision>
  <cp:lastPrinted>2024-08-29T14:34:00Z</cp:lastPrinted>
  <dcterms:created xsi:type="dcterms:W3CDTF">2022-11-01T16:01:00Z</dcterms:created>
  <dcterms:modified xsi:type="dcterms:W3CDTF">2024-08-29T14:34:00Z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0x0101002BF7412DFFB84941967213E5B01F57B0</vt:lpwstr>
  </property>
  <property fmtid="{D5CDD505-2E9C-101B-9397-08002B2CF9AE}" pid="3" name="MediaServiceImageTags">
    <vt:lpwstr/>
  </property>
</Properties>
</file>